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A5E206" w14:textId="77777777" w:rsidR="00AE7963" w:rsidRPr="00C828A6" w:rsidRDefault="00AE7963" w:rsidP="008D6399">
      <w:pPr>
        <w:spacing w:line="480" w:lineRule="auto"/>
        <w:jc w:val="center"/>
      </w:pPr>
      <w:bookmarkStart w:id="0" w:name="_GoBack"/>
    </w:p>
    <w:p w14:paraId="19EEA6BA" w14:textId="77777777" w:rsidR="00AE7963" w:rsidRPr="00C828A6" w:rsidRDefault="00AE7963" w:rsidP="008D6399">
      <w:pPr>
        <w:spacing w:line="480" w:lineRule="auto"/>
        <w:jc w:val="center"/>
      </w:pPr>
    </w:p>
    <w:p w14:paraId="69E4C8FB" w14:textId="77777777" w:rsidR="00AE7963" w:rsidRPr="00C828A6" w:rsidRDefault="00AE7963" w:rsidP="008D6399">
      <w:pPr>
        <w:spacing w:line="480" w:lineRule="auto"/>
        <w:jc w:val="center"/>
      </w:pPr>
    </w:p>
    <w:p w14:paraId="40BD1F2D" w14:textId="77777777" w:rsidR="00AE7963" w:rsidRPr="00C828A6" w:rsidRDefault="00AE7963" w:rsidP="008D6399">
      <w:pPr>
        <w:spacing w:line="480" w:lineRule="auto"/>
        <w:jc w:val="center"/>
      </w:pPr>
    </w:p>
    <w:p w14:paraId="6F22921B" w14:textId="77777777" w:rsidR="00AE7963" w:rsidRPr="00C828A6" w:rsidRDefault="00AE7963" w:rsidP="008D6399">
      <w:pPr>
        <w:spacing w:line="480" w:lineRule="auto"/>
        <w:jc w:val="center"/>
      </w:pPr>
    </w:p>
    <w:p w14:paraId="2DE4039D" w14:textId="77777777" w:rsidR="00AE7963" w:rsidRPr="00C828A6" w:rsidRDefault="00AE7963" w:rsidP="008D6399">
      <w:pPr>
        <w:spacing w:line="480" w:lineRule="auto"/>
        <w:jc w:val="center"/>
      </w:pPr>
    </w:p>
    <w:p w14:paraId="77D18A54" w14:textId="77777777" w:rsidR="00AE7963" w:rsidRPr="00C828A6" w:rsidRDefault="00AE7963" w:rsidP="008D6399">
      <w:pPr>
        <w:spacing w:line="480" w:lineRule="auto"/>
        <w:jc w:val="center"/>
      </w:pPr>
    </w:p>
    <w:p w14:paraId="7D3BCFDC" w14:textId="77777777" w:rsidR="00AE7963" w:rsidRPr="00C828A6" w:rsidRDefault="00AE7963" w:rsidP="008D6399">
      <w:pPr>
        <w:spacing w:line="480" w:lineRule="auto"/>
        <w:jc w:val="center"/>
      </w:pPr>
    </w:p>
    <w:p w14:paraId="38BC6F33" w14:textId="77777777" w:rsidR="00AE7963" w:rsidRPr="00C828A6" w:rsidRDefault="00AE7963" w:rsidP="008D6399">
      <w:pPr>
        <w:spacing w:line="480" w:lineRule="auto"/>
        <w:jc w:val="center"/>
      </w:pPr>
    </w:p>
    <w:p w14:paraId="334A8E27" w14:textId="7AA22042" w:rsidR="00AE7963" w:rsidRPr="00C828A6" w:rsidRDefault="00CB345E" w:rsidP="008D6399">
      <w:pPr>
        <w:spacing w:line="480" w:lineRule="auto"/>
        <w:jc w:val="center"/>
      </w:pPr>
      <w:r w:rsidRPr="00C828A6">
        <w:t>The Application of Law</w:t>
      </w:r>
    </w:p>
    <w:p w14:paraId="4E3C3D84" w14:textId="77777777" w:rsidR="00AE7963" w:rsidRPr="00C828A6" w:rsidRDefault="00CB345E" w:rsidP="008D6399">
      <w:pPr>
        <w:spacing w:line="480" w:lineRule="auto"/>
        <w:jc w:val="center"/>
      </w:pPr>
      <w:r w:rsidRPr="00C828A6">
        <w:t>Name:</w:t>
      </w:r>
    </w:p>
    <w:p w14:paraId="7810D880" w14:textId="77777777" w:rsidR="00AE7963" w:rsidRPr="00C828A6" w:rsidRDefault="00CB345E" w:rsidP="008D6399">
      <w:pPr>
        <w:spacing w:line="480" w:lineRule="auto"/>
        <w:jc w:val="center"/>
      </w:pPr>
      <w:r w:rsidRPr="00C828A6">
        <w:t>Institution Affiliations:</w:t>
      </w:r>
    </w:p>
    <w:p w14:paraId="19865754" w14:textId="25D8719E" w:rsidR="00AE7963" w:rsidRPr="00C828A6" w:rsidRDefault="00CB345E" w:rsidP="008D6399">
      <w:pPr>
        <w:spacing w:line="480" w:lineRule="auto"/>
        <w:jc w:val="center"/>
      </w:pPr>
      <w:r w:rsidRPr="00C828A6">
        <w:t>Date:</w:t>
      </w:r>
    </w:p>
    <w:p w14:paraId="7B8B7B35" w14:textId="3102A507" w:rsidR="00AE7963" w:rsidRPr="00C828A6" w:rsidRDefault="00AE7963" w:rsidP="008D6399">
      <w:pPr>
        <w:spacing w:line="480" w:lineRule="auto"/>
        <w:jc w:val="center"/>
      </w:pPr>
    </w:p>
    <w:p w14:paraId="4D81D249" w14:textId="086D2512" w:rsidR="00AE7963" w:rsidRPr="00C828A6" w:rsidRDefault="00AE7963" w:rsidP="008D6399">
      <w:pPr>
        <w:spacing w:line="480" w:lineRule="auto"/>
        <w:jc w:val="center"/>
      </w:pPr>
    </w:p>
    <w:p w14:paraId="5E33E241" w14:textId="077BB2BB" w:rsidR="00AE7963" w:rsidRPr="00C828A6" w:rsidRDefault="00AE7963" w:rsidP="008D6399">
      <w:pPr>
        <w:spacing w:line="480" w:lineRule="auto"/>
        <w:jc w:val="center"/>
      </w:pPr>
    </w:p>
    <w:p w14:paraId="2F845E9E" w14:textId="042E8D19" w:rsidR="00AE7963" w:rsidRPr="00C828A6" w:rsidRDefault="00AE7963" w:rsidP="008D6399">
      <w:pPr>
        <w:spacing w:line="480" w:lineRule="auto"/>
        <w:jc w:val="center"/>
      </w:pPr>
    </w:p>
    <w:p w14:paraId="08E7A651" w14:textId="39E427AD" w:rsidR="00AE7963" w:rsidRPr="00C828A6" w:rsidRDefault="00AE7963" w:rsidP="008D6399">
      <w:pPr>
        <w:spacing w:line="480" w:lineRule="auto"/>
        <w:jc w:val="center"/>
      </w:pPr>
    </w:p>
    <w:p w14:paraId="00D2DECF" w14:textId="34BA5F33" w:rsidR="00AE7963" w:rsidRPr="00C828A6" w:rsidRDefault="00AE7963" w:rsidP="008D6399">
      <w:pPr>
        <w:spacing w:line="480" w:lineRule="auto"/>
        <w:jc w:val="center"/>
      </w:pPr>
    </w:p>
    <w:p w14:paraId="6CE3039D" w14:textId="5C0E8C71" w:rsidR="00AE7963" w:rsidRPr="00C828A6" w:rsidRDefault="00AE7963" w:rsidP="008D6399">
      <w:pPr>
        <w:spacing w:line="480" w:lineRule="auto"/>
        <w:jc w:val="center"/>
      </w:pPr>
    </w:p>
    <w:p w14:paraId="360098E2" w14:textId="4FF5E8F9" w:rsidR="00AE7963" w:rsidRPr="00C828A6" w:rsidRDefault="00AE7963" w:rsidP="008D6399">
      <w:pPr>
        <w:spacing w:line="480" w:lineRule="auto"/>
        <w:jc w:val="center"/>
      </w:pPr>
    </w:p>
    <w:p w14:paraId="27F76E40" w14:textId="77777777" w:rsidR="00AE7963" w:rsidRPr="00C828A6" w:rsidRDefault="00AE7963" w:rsidP="008D6399">
      <w:pPr>
        <w:spacing w:line="480" w:lineRule="auto"/>
        <w:jc w:val="center"/>
      </w:pPr>
    </w:p>
    <w:p w14:paraId="2BE21EBD" w14:textId="77777777" w:rsidR="00C828A6" w:rsidRDefault="00C828A6" w:rsidP="00C828A6">
      <w:pPr>
        <w:shd w:val="clear" w:color="auto" w:fill="FFFFFF"/>
        <w:spacing w:line="480" w:lineRule="auto"/>
        <w:rPr>
          <w:b/>
          <w:color w:val="2D3B45"/>
        </w:rPr>
      </w:pPr>
    </w:p>
    <w:p w14:paraId="66B7179A" w14:textId="15EC2BCD" w:rsidR="005A4148" w:rsidRPr="00C828A6" w:rsidRDefault="00CB345E" w:rsidP="00C828A6">
      <w:pPr>
        <w:shd w:val="clear" w:color="auto" w:fill="FFFFFF"/>
        <w:spacing w:line="480" w:lineRule="auto"/>
        <w:jc w:val="center"/>
        <w:rPr>
          <w:b/>
          <w:color w:val="2D3B45"/>
        </w:rPr>
      </w:pPr>
      <w:r w:rsidRPr="00C828A6">
        <w:rPr>
          <w:b/>
          <w:color w:val="2D3B45"/>
        </w:rPr>
        <w:lastRenderedPageBreak/>
        <w:t>Question One</w:t>
      </w:r>
    </w:p>
    <w:p w14:paraId="607B2F2B" w14:textId="36845942" w:rsidR="005A4148" w:rsidRPr="00C828A6" w:rsidRDefault="00CB345E" w:rsidP="008D6399">
      <w:pPr>
        <w:shd w:val="clear" w:color="auto" w:fill="FFFFFF"/>
        <w:spacing w:line="480" w:lineRule="auto"/>
        <w:ind w:firstLine="360"/>
        <w:jc w:val="both"/>
        <w:rPr>
          <w:color w:val="2D3B45"/>
        </w:rPr>
      </w:pPr>
      <w:r w:rsidRPr="00C828A6">
        <w:rPr>
          <w:color w:val="2D3B45"/>
        </w:rPr>
        <w:t>For one to determine the verdict of the case, specific facts arising from the case must be put into consideration.  For instance,</w:t>
      </w:r>
    </w:p>
    <w:p w14:paraId="696A83E9" w14:textId="69F2CB4D" w:rsidR="005A4148" w:rsidRPr="00C828A6" w:rsidRDefault="00CB345E" w:rsidP="008D6399">
      <w:pPr>
        <w:pStyle w:val="ListParagraph"/>
        <w:numPr>
          <w:ilvl w:val="0"/>
          <w:numId w:val="1"/>
        </w:numPr>
        <w:shd w:val="clear" w:color="auto" w:fill="FFFFFF"/>
        <w:spacing w:line="480" w:lineRule="auto"/>
        <w:jc w:val="both"/>
        <w:rPr>
          <w:color w:val="2D3B45"/>
        </w:rPr>
      </w:pPr>
      <w:r w:rsidRPr="00C828A6">
        <w:rPr>
          <w:color w:val="2D3B45"/>
        </w:rPr>
        <w:t xml:space="preserve">The garage has physically </w:t>
      </w:r>
      <w:r w:rsidRPr="00C828A6">
        <w:rPr>
          <w:color w:val="2D3B45"/>
        </w:rPr>
        <w:t>occupied the land under conflict.</w:t>
      </w:r>
    </w:p>
    <w:p w14:paraId="356CBE7D" w14:textId="68CC16A5" w:rsidR="005A4148" w:rsidRPr="00C828A6" w:rsidRDefault="00CB345E" w:rsidP="008D6399">
      <w:pPr>
        <w:pStyle w:val="ListParagraph"/>
        <w:numPr>
          <w:ilvl w:val="0"/>
          <w:numId w:val="1"/>
        </w:numPr>
        <w:shd w:val="clear" w:color="auto" w:fill="FFFFFF"/>
        <w:spacing w:before="180" w:line="480" w:lineRule="auto"/>
        <w:jc w:val="both"/>
        <w:rPr>
          <w:color w:val="2D3B45"/>
        </w:rPr>
      </w:pPr>
      <w:r w:rsidRPr="00C828A6">
        <w:rPr>
          <w:color w:val="2D3B45"/>
        </w:rPr>
        <w:t>According to the case, the garage had been constructed sometime before 20 years by the predecessors of Naab</w:t>
      </w:r>
    </w:p>
    <w:p w14:paraId="23F4B696" w14:textId="788DB990" w:rsidR="005A4148" w:rsidRPr="00C828A6" w:rsidRDefault="00CB345E" w:rsidP="008D6399">
      <w:pPr>
        <w:pStyle w:val="ListParagraph"/>
        <w:numPr>
          <w:ilvl w:val="0"/>
          <w:numId w:val="1"/>
        </w:numPr>
        <w:shd w:val="clear" w:color="auto" w:fill="FFFFFF"/>
        <w:spacing w:before="180" w:line="480" w:lineRule="auto"/>
        <w:jc w:val="both"/>
        <w:rPr>
          <w:color w:val="2D3B45"/>
        </w:rPr>
      </w:pPr>
      <w:r w:rsidRPr="00C828A6">
        <w:rPr>
          <w:color w:val="2D3B45"/>
        </w:rPr>
        <w:t>For about 20 years of existence, the premises occupied by the garage has never been challenged in the court of law</w:t>
      </w:r>
    </w:p>
    <w:p w14:paraId="7D7317F8" w14:textId="4940F0FA" w:rsidR="005A4148" w:rsidRPr="00C828A6" w:rsidRDefault="00CB345E" w:rsidP="008D6399">
      <w:pPr>
        <w:pStyle w:val="ListParagraph"/>
        <w:numPr>
          <w:ilvl w:val="0"/>
          <w:numId w:val="1"/>
        </w:numPr>
        <w:shd w:val="clear" w:color="auto" w:fill="FFFFFF"/>
        <w:spacing w:line="480" w:lineRule="auto"/>
        <w:jc w:val="both"/>
        <w:rPr>
          <w:color w:val="2D3B45"/>
        </w:rPr>
      </w:pPr>
      <w:r w:rsidRPr="00C828A6">
        <w:rPr>
          <w:color w:val="2D3B45"/>
        </w:rPr>
        <w:t xml:space="preserve">It is evident from the case that for the 20 years, the garage has been visible, open and notorious to Nolans </w:t>
      </w:r>
    </w:p>
    <w:p w14:paraId="4F8314FE" w14:textId="2E962851" w:rsidR="00AC5BBB" w:rsidRPr="00C828A6" w:rsidRDefault="00CB345E" w:rsidP="00C006C6">
      <w:pPr>
        <w:shd w:val="clear" w:color="auto" w:fill="FFFFFF"/>
        <w:spacing w:before="100" w:beforeAutospacing="1" w:after="100" w:afterAutospacing="1" w:line="480" w:lineRule="auto"/>
        <w:ind w:left="284" w:firstLine="680"/>
        <w:contextualSpacing/>
        <w:jc w:val="both"/>
        <w:rPr>
          <w:color w:val="2D3B45"/>
        </w:rPr>
      </w:pPr>
      <w:r w:rsidRPr="00C828A6">
        <w:rPr>
          <w:color w:val="2D3B45"/>
        </w:rPr>
        <w:t>From these facts, Naab had the right to claim the piece of land that was under conflict</w:t>
      </w:r>
      <w:r w:rsidR="00280109" w:rsidRPr="00C828A6">
        <w:rPr>
          <w:color w:val="2D3B45"/>
        </w:rPr>
        <w:t xml:space="preserve"> from its landowners through the process of adverse possession. Therefore, the court passed its </w:t>
      </w:r>
      <w:r w:rsidR="00C006C6" w:rsidRPr="00C828A6">
        <w:rPr>
          <w:color w:val="2D3B45"/>
        </w:rPr>
        <w:t>judgment</w:t>
      </w:r>
      <w:r w:rsidR="00280109" w:rsidRPr="00C828A6">
        <w:rPr>
          <w:color w:val="2D3B45"/>
        </w:rPr>
        <w:t xml:space="preserve"> in favor of Naab. Besides, through the way of adverse possession to claim the parcel of the disputed land, a prescriptive easement was also provided. In West Virginia, it is a requirement by the law that at least ten years must elapse for one to be able to seek adverse possession</w:t>
      </w:r>
      <w:sdt>
        <w:sdtPr>
          <w:rPr>
            <w:color w:val="2D3B45"/>
          </w:rPr>
          <w:id w:val="1294794959"/>
          <w:citation/>
        </w:sdtPr>
        <w:sdtEndPr/>
        <w:sdtContent>
          <w:r w:rsidR="00306973" w:rsidRPr="00C828A6">
            <w:rPr>
              <w:color w:val="2D3B45"/>
            </w:rPr>
            <w:fldChar w:fldCharType="begin"/>
          </w:r>
          <w:r w:rsidR="00306973" w:rsidRPr="00C828A6">
            <w:rPr>
              <w:color w:val="2D3B45"/>
            </w:rPr>
            <w:instrText xml:space="preserve"> CITATION Dos \l 1033 </w:instrText>
          </w:r>
          <w:r w:rsidR="00306973" w:rsidRPr="00C828A6">
            <w:rPr>
              <w:color w:val="2D3B45"/>
            </w:rPr>
            <w:fldChar w:fldCharType="separate"/>
          </w:r>
          <w:r w:rsidR="00FB2641" w:rsidRPr="00C828A6">
            <w:rPr>
              <w:noProof/>
              <w:color w:val="2D3B45"/>
            </w:rPr>
            <w:t xml:space="preserve"> (Doskow)</w:t>
          </w:r>
          <w:r w:rsidR="00306973" w:rsidRPr="00C828A6">
            <w:rPr>
              <w:color w:val="2D3B45"/>
            </w:rPr>
            <w:fldChar w:fldCharType="end"/>
          </w:r>
        </w:sdtContent>
      </w:sdt>
      <w:r w:rsidR="00280109" w:rsidRPr="00C828A6">
        <w:rPr>
          <w:color w:val="2D3B45"/>
        </w:rPr>
        <w:t xml:space="preserve">. For instance, in the standard law code of the West </w:t>
      </w:r>
      <w:r w:rsidR="003C684F" w:rsidRPr="00C828A6">
        <w:rPr>
          <w:color w:val="2D3B45"/>
        </w:rPr>
        <w:t>Virginia</w:t>
      </w:r>
      <w:r w:rsidR="00280109" w:rsidRPr="00C828A6">
        <w:rPr>
          <w:color w:val="2D3B45"/>
        </w:rPr>
        <w:t xml:space="preserve"> 55-2-1., a trespasser is allowed to own property legally as long as their occupation of the property is termed as open, exclusive, actual, hostile, notorious and </w:t>
      </w:r>
      <w:r w:rsidR="003C684F" w:rsidRPr="00C828A6">
        <w:rPr>
          <w:color w:val="2D3B45"/>
        </w:rPr>
        <w:t>continuous for a particular duration as stipulated by the statute of the state. Through the process of tracking, upon transferring or selling the property to another party, for instance, the party from whom Naab purchased the property would automatically qualify to become adverse possessor where the years spent in occupying the premises will count for the claims that might be raised by the new owner of the property.</w:t>
      </w:r>
      <w:r w:rsidR="00936643" w:rsidRPr="00C828A6">
        <w:rPr>
          <w:color w:val="2D3B45"/>
        </w:rPr>
        <w:t xml:space="preserve"> Therefore, from this case, it is evident that all the requirements of the doctrine of </w:t>
      </w:r>
      <w:r w:rsidR="00936643" w:rsidRPr="00C828A6">
        <w:rPr>
          <w:color w:val="2D3B45"/>
        </w:rPr>
        <w:lastRenderedPageBreak/>
        <w:t xml:space="preserve">adverse possession have been fully satisfied </w:t>
      </w:r>
      <w:r w:rsidRPr="00C828A6">
        <w:rPr>
          <w:color w:val="2D3B45"/>
        </w:rPr>
        <w:t xml:space="preserve">by the garage thus making Naab the winner of the case. Based on the facts retrieved of the case and the powers bestowed on me as a judge I will pass my </w:t>
      </w:r>
      <w:r w:rsidR="00C006C6" w:rsidRPr="00C828A6">
        <w:rPr>
          <w:color w:val="2D3B45"/>
        </w:rPr>
        <w:t>judgment</w:t>
      </w:r>
      <w:r w:rsidRPr="00C828A6">
        <w:rPr>
          <w:color w:val="2D3B45"/>
        </w:rPr>
        <w:t xml:space="preserve"> to the rightful owner of the parcel of the disputed property. </w:t>
      </w:r>
    </w:p>
    <w:p w14:paraId="3F028481" w14:textId="13F2FD56" w:rsidR="00FA0C77" w:rsidRPr="00C828A6" w:rsidRDefault="00CB345E" w:rsidP="008D6399">
      <w:pPr>
        <w:shd w:val="clear" w:color="auto" w:fill="FFFFFF"/>
        <w:spacing w:line="480" w:lineRule="auto"/>
        <w:jc w:val="center"/>
        <w:rPr>
          <w:b/>
          <w:color w:val="2D3B45"/>
        </w:rPr>
      </w:pPr>
      <w:r w:rsidRPr="00C828A6">
        <w:rPr>
          <w:b/>
          <w:color w:val="2D3B45"/>
        </w:rPr>
        <w:t>Question Two</w:t>
      </w:r>
    </w:p>
    <w:p w14:paraId="5A384749" w14:textId="341EE46E" w:rsidR="005C0639" w:rsidRPr="00C828A6" w:rsidRDefault="00CB345E" w:rsidP="00C006C6">
      <w:pPr>
        <w:spacing w:before="100" w:beforeAutospacing="1" w:after="100" w:afterAutospacing="1" w:line="480" w:lineRule="auto"/>
        <w:ind w:left="284" w:firstLine="720"/>
        <w:contextualSpacing/>
        <w:rPr>
          <w:color w:val="2D3B45"/>
          <w:shd w:val="clear" w:color="auto" w:fill="FFFFFF"/>
        </w:rPr>
      </w:pPr>
      <w:r w:rsidRPr="00C828A6">
        <w:rPr>
          <w:color w:val="2D3B45"/>
          <w:shd w:val="clear" w:color="auto" w:fill="FFFFFF"/>
        </w:rPr>
        <w:t>From this scenario,</w:t>
      </w:r>
      <w:r w:rsidRPr="00C828A6">
        <w:rPr>
          <w:color w:val="2D3B45"/>
          <w:shd w:val="clear" w:color="auto" w:fill="FFFFFF"/>
        </w:rPr>
        <w:t xml:space="preserve"> I think Patricia had a right to do what she did as any other person would do. Upon looking down, Patricia was able to notice a </w:t>
      </w:r>
      <w:r w:rsidR="00ED3C9B" w:rsidRPr="00C828A6">
        <w:rPr>
          <w:color w:val="2D3B45"/>
          <w:shd w:val="clear" w:color="auto" w:fill="FFFFFF"/>
        </w:rPr>
        <w:t>crumbled-up</w:t>
      </w:r>
      <w:r w:rsidRPr="00C828A6">
        <w:rPr>
          <w:color w:val="2D3B45"/>
          <w:shd w:val="clear" w:color="auto" w:fill="FFFFFF"/>
        </w:rPr>
        <w:t xml:space="preserve"> bill on the floor. </w:t>
      </w:r>
      <w:r w:rsidR="00ED3C9B" w:rsidRPr="00C828A6">
        <w:rPr>
          <w:color w:val="2D3B45"/>
          <w:shd w:val="clear" w:color="auto" w:fill="FFFFFF"/>
        </w:rPr>
        <w:t>Neither did she witness or see anybody dropping it nor did something that would make one drop it on the floor. Therefore, she quickly picked it and stuffed it quickly in her pocketbook and left the store. In my assumption, I believe that a property can only be considered to be lost when the owner leaves it carelessly, negligently or inadvertently somewhere. The finder of the property quickly acquires legal ownership of the property in the whole world except the individual who is the valid owner of the property</w:t>
      </w:r>
      <w:sdt>
        <w:sdtPr>
          <w:rPr>
            <w:color w:val="2D3B45"/>
            <w:shd w:val="clear" w:color="auto" w:fill="FFFFFF"/>
          </w:rPr>
          <w:id w:val="-1284414455"/>
          <w:citation/>
        </w:sdtPr>
        <w:sdtEndPr/>
        <w:sdtContent>
          <w:r w:rsidR="00BF34D6" w:rsidRPr="00C828A6">
            <w:rPr>
              <w:color w:val="2D3B45"/>
              <w:shd w:val="clear" w:color="auto" w:fill="FFFFFF"/>
            </w:rPr>
            <w:fldChar w:fldCharType="begin"/>
          </w:r>
          <w:r w:rsidR="00BF34D6" w:rsidRPr="00C828A6">
            <w:rPr>
              <w:color w:val="2D3B45"/>
              <w:shd w:val="clear" w:color="auto" w:fill="FFFFFF"/>
            </w:rPr>
            <w:instrText xml:space="preserve"> CITATION Cou19 \l 1033 </w:instrText>
          </w:r>
          <w:r w:rsidR="00BF34D6" w:rsidRPr="00C828A6">
            <w:rPr>
              <w:color w:val="2D3B45"/>
              <w:shd w:val="clear" w:color="auto" w:fill="FFFFFF"/>
            </w:rPr>
            <w:fldChar w:fldCharType="separate"/>
          </w:r>
          <w:r w:rsidR="00FB2641" w:rsidRPr="00C828A6">
            <w:rPr>
              <w:noProof/>
              <w:color w:val="2D3B45"/>
              <w:shd w:val="clear" w:color="auto" w:fill="FFFFFF"/>
            </w:rPr>
            <w:t xml:space="preserve"> (Courthouse Libraries, 2019)</w:t>
          </w:r>
          <w:r w:rsidR="00BF34D6" w:rsidRPr="00C828A6">
            <w:rPr>
              <w:color w:val="2D3B45"/>
              <w:shd w:val="clear" w:color="auto" w:fill="FFFFFF"/>
            </w:rPr>
            <w:fldChar w:fldCharType="end"/>
          </w:r>
        </w:sdtContent>
      </w:sdt>
      <w:r w:rsidR="00ED3C9B" w:rsidRPr="00C828A6">
        <w:rPr>
          <w:color w:val="2D3B45"/>
          <w:shd w:val="clear" w:color="auto" w:fill="FFFFFF"/>
        </w:rPr>
        <w:t xml:space="preserve">. Therefore, basing my evidence on these facts, I believe that Patricia had the right to do what she did with the money. </w:t>
      </w:r>
      <w:r w:rsidR="0001663B" w:rsidRPr="00C828A6">
        <w:rPr>
          <w:color w:val="2D3B45"/>
          <w:shd w:val="clear" w:color="auto" w:fill="FFFFFF"/>
        </w:rPr>
        <w:t xml:space="preserve">In real situations, if one had to move around asking everybody whether they have lost their money or anyone has been asking if any had been turned in, then a more significant percentage of individuals will say yes. This means that there are high chances that the money will end up going into the wrong hands of someone who is not the owner of the money in the first place. Therefore, I think that for Patricia she got an early birthday present and for whoever who lost the money, it is a damn shame.  To be honest and frank I would have done the same thing Patricia did if I saw a </w:t>
      </w:r>
      <w:r w:rsidR="00BA5B2B" w:rsidRPr="00C828A6">
        <w:rPr>
          <w:color w:val="2D3B45"/>
          <w:shd w:val="clear" w:color="auto" w:fill="FFFFFF"/>
        </w:rPr>
        <w:t>$100-dollar</w:t>
      </w:r>
      <w:r w:rsidR="0001663B" w:rsidRPr="00C828A6">
        <w:rPr>
          <w:color w:val="2D3B45"/>
          <w:shd w:val="clear" w:color="auto" w:fill="FFFFFF"/>
        </w:rPr>
        <w:t xml:space="preserve"> bill laying of the floor. </w:t>
      </w:r>
    </w:p>
    <w:p w14:paraId="4F58B6AE" w14:textId="19650FA0" w:rsidR="00BA5B2B" w:rsidRPr="00C828A6" w:rsidRDefault="00BA5B2B" w:rsidP="00C006C6">
      <w:pPr>
        <w:spacing w:before="100" w:beforeAutospacing="1" w:after="100" w:afterAutospacing="1" w:line="480" w:lineRule="auto"/>
        <w:ind w:left="284" w:firstLine="720"/>
        <w:contextualSpacing/>
        <w:rPr>
          <w:color w:val="2D3B45"/>
          <w:shd w:val="clear" w:color="auto" w:fill="FFFFFF"/>
        </w:rPr>
      </w:pPr>
    </w:p>
    <w:p w14:paraId="118DF6F9" w14:textId="77777777" w:rsidR="00995E4A" w:rsidRPr="00C828A6" w:rsidRDefault="00995E4A" w:rsidP="00C006C6">
      <w:pPr>
        <w:spacing w:before="100" w:beforeAutospacing="1" w:after="100" w:afterAutospacing="1" w:line="480" w:lineRule="auto"/>
        <w:ind w:left="284" w:firstLine="720"/>
        <w:contextualSpacing/>
        <w:rPr>
          <w:b/>
          <w:color w:val="2D3B45"/>
          <w:shd w:val="clear" w:color="auto" w:fill="FFFFFF"/>
        </w:rPr>
      </w:pPr>
    </w:p>
    <w:p w14:paraId="0E4856D9" w14:textId="77777777" w:rsidR="00995E4A" w:rsidRPr="00C828A6" w:rsidRDefault="00995E4A" w:rsidP="00C006C6">
      <w:pPr>
        <w:spacing w:before="100" w:beforeAutospacing="1" w:after="100" w:afterAutospacing="1" w:line="480" w:lineRule="auto"/>
        <w:ind w:left="284" w:firstLine="720"/>
        <w:contextualSpacing/>
        <w:rPr>
          <w:b/>
          <w:color w:val="2D3B45"/>
          <w:shd w:val="clear" w:color="auto" w:fill="FFFFFF"/>
        </w:rPr>
      </w:pPr>
    </w:p>
    <w:p w14:paraId="2D496D61" w14:textId="612BA26A" w:rsidR="00A67CFB" w:rsidRPr="00C828A6" w:rsidRDefault="00CB345E" w:rsidP="00995E4A">
      <w:pPr>
        <w:spacing w:line="480" w:lineRule="auto"/>
        <w:jc w:val="center"/>
        <w:rPr>
          <w:b/>
        </w:rPr>
      </w:pPr>
      <w:r w:rsidRPr="00C828A6">
        <w:rPr>
          <w:b/>
          <w:color w:val="2D3B45"/>
          <w:shd w:val="clear" w:color="auto" w:fill="FFFFFF"/>
        </w:rPr>
        <w:lastRenderedPageBreak/>
        <w:t>Question Three</w:t>
      </w:r>
    </w:p>
    <w:p w14:paraId="27395714" w14:textId="73E80825" w:rsidR="001A794C" w:rsidRPr="00C828A6" w:rsidRDefault="00CB345E" w:rsidP="00B83D30">
      <w:pPr>
        <w:spacing w:before="100" w:beforeAutospacing="1" w:after="100" w:afterAutospacing="1" w:line="480" w:lineRule="auto"/>
        <w:ind w:left="284" w:firstLine="720"/>
        <w:contextualSpacing/>
      </w:pPr>
      <w:r w:rsidRPr="00C828A6">
        <w:t xml:space="preserve">Division </w:t>
      </w:r>
      <w:r w:rsidR="00777532" w:rsidRPr="00C828A6">
        <w:t xml:space="preserve">of work through </w:t>
      </w:r>
      <w:r w:rsidR="005224D0" w:rsidRPr="00C828A6">
        <w:t>specialization. The</w:t>
      </w:r>
      <w:r w:rsidR="000820D4" w:rsidRPr="00C828A6">
        <w:t xml:space="preserve"> work schedule of employees should </w:t>
      </w:r>
      <w:r w:rsidR="00A36BB6" w:rsidRPr="00C828A6">
        <w:t xml:space="preserve">not </w:t>
      </w:r>
      <w:r w:rsidR="000820D4" w:rsidRPr="00C828A6">
        <w:t xml:space="preserve">be static or </w:t>
      </w:r>
      <w:r w:rsidR="005224D0" w:rsidRPr="00C828A6">
        <w:t>rigid. Also</w:t>
      </w:r>
      <w:r w:rsidR="000820D4" w:rsidRPr="00C828A6">
        <w:t xml:space="preserve">, the primary or core duties and </w:t>
      </w:r>
      <w:r w:rsidR="005224D0" w:rsidRPr="00C828A6">
        <w:t>responsibilities,</w:t>
      </w:r>
      <w:r w:rsidR="000820D4" w:rsidRPr="00C828A6">
        <w:t xml:space="preserve"> workers must be able </w:t>
      </w:r>
      <w:r w:rsidR="00A36BB6" w:rsidRPr="00C828A6">
        <w:t>to carry out other</w:t>
      </w:r>
      <w:r w:rsidR="005224D0" w:rsidRPr="00C828A6">
        <w:t xml:space="preserve"> ta</w:t>
      </w:r>
      <w:r w:rsidR="00B83D30" w:rsidRPr="00C828A6">
        <w:t xml:space="preserve">sks within the company’s environment </w:t>
      </w:r>
      <w:r w:rsidR="00777532" w:rsidRPr="00C828A6">
        <w:t xml:space="preserve">of work. I will remember this principle </w:t>
      </w:r>
      <w:r w:rsidR="00F307C3" w:rsidRPr="00C828A6">
        <w:t>because specialization</w:t>
      </w:r>
      <w:r w:rsidR="00777532" w:rsidRPr="00C828A6">
        <w:t xml:space="preserve"> and division labor </w:t>
      </w:r>
      <w:r w:rsidR="00723665" w:rsidRPr="00C828A6">
        <w:t xml:space="preserve">results in faster production, increased the easiness of training the </w:t>
      </w:r>
      <w:r w:rsidR="00995E4A" w:rsidRPr="00C828A6">
        <w:t>job, and</w:t>
      </w:r>
      <w:r w:rsidR="00723665" w:rsidRPr="00C828A6">
        <w:t xml:space="preserve"> less </w:t>
      </w:r>
      <w:r w:rsidR="00F307C3" w:rsidRPr="00C828A6">
        <w:t>wastage</w:t>
      </w:r>
      <w:sdt>
        <w:sdtPr>
          <w:id w:val="-1867052964"/>
          <w:citation/>
        </w:sdtPr>
        <w:sdtEndPr/>
        <w:sdtContent>
          <w:r w:rsidR="00DE06B6" w:rsidRPr="00C828A6">
            <w:fldChar w:fldCharType="begin"/>
          </w:r>
          <w:r w:rsidR="00DE06B6" w:rsidRPr="00C828A6">
            <w:rPr>
              <w:lang w:val="en-GB"/>
            </w:rPr>
            <w:instrText xml:space="preserve"> CITATION Yoo06 \l 2057 </w:instrText>
          </w:r>
          <w:r w:rsidR="00DE06B6" w:rsidRPr="00C828A6">
            <w:fldChar w:fldCharType="separate"/>
          </w:r>
          <w:r w:rsidR="00FB2641" w:rsidRPr="00C828A6">
            <w:rPr>
              <w:noProof/>
              <w:lang w:val="en-GB"/>
            </w:rPr>
            <w:t xml:space="preserve"> (Yoo, Lemak, &amp; Choi, 2006)</w:t>
          </w:r>
          <w:r w:rsidR="00DE06B6" w:rsidRPr="00C828A6">
            <w:fldChar w:fldCharType="end"/>
          </w:r>
        </w:sdtContent>
      </w:sdt>
      <w:r w:rsidR="00F307C3" w:rsidRPr="00C828A6">
        <w:t xml:space="preserve">. </w:t>
      </w:r>
    </w:p>
    <w:p w14:paraId="5663468C" w14:textId="7142F87B" w:rsidR="00973D03" w:rsidRPr="00C828A6" w:rsidRDefault="00CB345E" w:rsidP="001A794C">
      <w:pPr>
        <w:spacing w:before="100" w:beforeAutospacing="1" w:after="100" w:afterAutospacing="1" w:line="480" w:lineRule="auto"/>
        <w:ind w:left="284" w:firstLine="720"/>
        <w:contextualSpacing/>
      </w:pPr>
      <w:r w:rsidRPr="00C828A6">
        <w:t xml:space="preserve">Authority and </w:t>
      </w:r>
      <w:r w:rsidR="00015425" w:rsidRPr="00C828A6">
        <w:t>r</w:t>
      </w:r>
      <w:r w:rsidRPr="00C828A6">
        <w:t>esponsibility principle</w:t>
      </w:r>
      <w:r w:rsidR="00106B27" w:rsidRPr="00C828A6">
        <w:t>.</w:t>
      </w:r>
      <w:r w:rsidRPr="00C828A6">
        <w:t xml:space="preserve"> </w:t>
      </w:r>
      <w:r w:rsidR="00F307C3" w:rsidRPr="00C828A6">
        <w:t xml:space="preserve"> </w:t>
      </w:r>
      <w:r w:rsidR="00015425" w:rsidRPr="00C828A6">
        <w:t xml:space="preserve">According to Fayol, the </w:t>
      </w:r>
      <w:r w:rsidR="00753319" w:rsidRPr="00C828A6">
        <w:t>organization’s manage</w:t>
      </w:r>
      <w:r w:rsidR="00EB21F1" w:rsidRPr="00C828A6">
        <w:t xml:space="preserve">ment has the right to give orders to the employees, and the workers </w:t>
      </w:r>
      <w:r w:rsidR="00EE456D" w:rsidRPr="00C828A6">
        <w:t xml:space="preserve">must obey </w:t>
      </w:r>
      <w:r w:rsidR="00DC53F4" w:rsidRPr="00C828A6">
        <w:t>them. The</w:t>
      </w:r>
      <w:r w:rsidR="00EE456D" w:rsidRPr="00C828A6">
        <w:t xml:space="preserve"> authority principle is essential </w:t>
      </w:r>
      <w:r w:rsidR="005F4AF5" w:rsidRPr="00C828A6">
        <w:t>in the impleme</w:t>
      </w:r>
      <w:r w:rsidR="00DC53F4" w:rsidRPr="00C828A6">
        <w:t xml:space="preserve">ntation of the cost leadership </w:t>
      </w:r>
      <w:r w:rsidR="005F4AF5" w:rsidRPr="00C828A6">
        <w:t xml:space="preserve">strategies since authority is a significant component </w:t>
      </w:r>
      <w:r w:rsidR="00DC53F4" w:rsidRPr="00C828A6">
        <w:t>to enhance formal corporate controls</w:t>
      </w:r>
      <w:sdt>
        <w:sdtPr>
          <w:id w:val="1866873691"/>
          <w:citation/>
        </w:sdtPr>
        <w:sdtEndPr/>
        <w:sdtContent>
          <w:r w:rsidR="00515891" w:rsidRPr="00C828A6">
            <w:fldChar w:fldCharType="begin"/>
          </w:r>
          <w:r w:rsidR="00515891" w:rsidRPr="00C828A6">
            <w:rPr>
              <w:lang w:val="en-GB"/>
            </w:rPr>
            <w:instrText xml:space="preserve"> CITATION Yoo06 \l 2057 </w:instrText>
          </w:r>
          <w:r w:rsidR="00515891" w:rsidRPr="00C828A6">
            <w:fldChar w:fldCharType="separate"/>
          </w:r>
          <w:r w:rsidR="00FB2641" w:rsidRPr="00C828A6">
            <w:rPr>
              <w:noProof/>
              <w:lang w:val="en-GB"/>
            </w:rPr>
            <w:t xml:space="preserve"> (Yoo, Lemak, &amp; Choi, 2006)</w:t>
          </w:r>
          <w:r w:rsidR="00515891" w:rsidRPr="00C828A6">
            <w:fldChar w:fldCharType="end"/>
          </w:r>
        </w:sdtContent>
      </w:sdt>
      <w:r w:rsidR="00DC53F4" w:rsidRPr="00C828A6">
        <w:t>.</w:t>
      </w:r>
      <w:r w:rsidR="00EE456D" w:rsidRPr="00C828A6">
        <w:t xml:space="preserve"> </w:t>
      </w:r>
    </w:p>
    <w:p w14:paraId="434DBC67" w14:textId="37C792CC" w:rsidR="005224D0" w:rsidRPr="00C828A6" w:rsidRDefault="00CB345E" w:rsidP="00F9330D">
      <w:pPr>
        <w:spacing w:before="100" w:beforeAutospacing="1" w:after="100" w:afterAutospacing="1" w:line="480" w:lineRule="auto"/>
        <w:ind w:firstLine="720"/>
        <w:contextualSpacing/>
      </w:pPr>
      <w:r w:rsidRPr="00C828A6">
        <w:t xml:space="preserve">Unit of command </w:t>
      </w:r>
      <w:r w:rsidR="004B53E6" w:rsidRPr="00C828A6">
        <w:t xml:space="preserve">principle. This concept implies that if the company is </w:t>
      </w:r>
      <w:r w:rsidR="00F9330D" w:rsidRPr="00C828A6">
        <w:t>specialized,</w:t>
      </w:r>
      <w:r w:rsidR="004B53E6" w:rsidRPr="00C828A6">
        <w:t xml:space="preserve"> </w:t>
      </w:r>
      <w:r w:rsidR="00F9330D" w:rsidRPr="00C828A6">
        <w:t>then every</w:t>
      </w:r>
      <w:r w:rsidR="004B53E6" w:rsidRPr="00C828A6">
        <w:t xml:space="preserve"> task in each department </w:t>
      </w:r>
      <w:r w:rsidR="00F9330D" w:rsidRPr="00C828A6">
        <w:t xml:space="preserve">should set its own dedicated goal or </w:t>
      </w:r>
      <w:r w:rsidR="0040736E" w:rsidRPr="00C828A6">
        <w:t>objective. The</w:t>
      </w:r>
      <w:r w:rsidR="00687748" w:rsidRPr="00C828A6">
        <w:t xml:space="preserve"> principle states that one p</w:t>
      </w:r>
      <w:r w:rsidR="0040736E" w:rsidRPr="00C828A6">
        <w:t>lan one head for various activi</w:t>
      </w:r>
      <w:r w:rsidR="00687748" w:rsidRPr="00C828A6">
        <w:t>t</w:t>
      </w:r>
      <w:r w:rsidR="0040736E" w:rsidRPr="00C828A6">
        <w:t>ie</w:t>
      </w:r>
      <w:r w:rsidR="00687748" w:rsidRPr="00C828A6">
        <w:t>s with a similar purpose or objective</w:t>
      </w:r>
      <w:sdt>
        <w:sdtPr>
          <w:id w:val="-349188304"/>
          <w:citation/>
        </w:sdtPr>
        <w:sdtContent>
          <w:r w:rsidR="00CD6FD8">
            <w:fldChar w:fldCharType="begin"/>
          </w:r>
          <w:r w:rsidR="00CD6FD8">
            <w:rPr>
              <w:lang w:val="en-GB"/>
            </w:rPr>
            <w:instrText xml:space="preserve"> CITATION Yoo06 \l 2057 </w:instrText>
          </w:r>
          <w:r w:rsidR="00CD6FD8">
            <w:fldChar w:fldCharType="separate"/>
          </w:r>
          <w:r w:rsidR="00CD6FD8">
            <w:rPr>
              <w:noProof/>
              <w:lang w:val="en-GB"/>
            </w:rPr>
            <w:t xml:space="preserve"> </w:t>
          </w:r>
          <w:r w:rsidR="00CD6FD8" w:rsidRPr="00CD6FD8">
            <w:rPr>
              <w:noProof/>
              <w:lang w:val="en-GB"/>
            </w:rPr>
            <w:t>(Yoo, Lemak, &amp; Choi, 2006)</w:t>
          </w:r>
          <w:r w:rsidR="00CD6FD8">
            <w:fldChar w:fldCharType="end"/>
          </w:r>
        </w:sdtContent>
      </w:sdt>
      <w:r w:rsidR="00CD6FD8" w:rsidRPr="00C828A6">
        <w:t>. This</w:t>
      </w:r>
      <w:r w:rsidR="003427B6" w:rsidRPr="00C828A6">
        <w:t xml:space="preserve"> concept means that</w:t>
      </w:r>
      <w:r w:rsidR="00560192">
        <w:t xml:space="preserve"> efficiency of the firm often</w:t>
      </w:r>
      <w:r w:rsidR="00822F79" w:rsidRPr="00C828A6">
        <w:t xml:space="preserve"> increases through the reduction </w:t>
      </w:r>
      <w:r w:rsidR="00560192" w:rsidRPr="00C828A6">
        <w:t>o</w:t>
      </w:r>
      <w:r w:rsidR="00560192">
        <w:t xml:space="preserve">f disagreements </w:t>
      </w:r>
      <w:r w:rsidR="00560192" w:rsidRPr="00C828A6">
        <w:t>among</w:t>
      </w:r>
      <w:r w:rsidR="00822F79" w:rsidRPr="00C828A6">
        <w:t xml:space="preserve"> the employees</w:t>
      </w:r>
      <w:r w:rsidR="0078637A" w:rsidRPr="00C828A6">
        <w:t xml:space="preserve"> since each worker as one task which is managed and controlled by management</w:t>
      </w:r>
      <w:sdt>
        <w:sdtPr>
          <w:id w:val="-1625770363"/>
          <w:citation/>
        </w:sdtPr>
        <w:sdtEndPr/>
        <w:sdtContent>
          <w:r w:rsidR="00515891" w:rsidRPr="00C828A6">
            <w:fldChar w:fldCharType="begin"/>
          </w:r>
          <w:r w:rsidR="00515891" w:rsidRPr="00C828A6">
            <w:rPr>
              <w:lang w:val="en-GB"/>
            </w:rPr>
            <w:instrText xml:space="preserve"> CITATION Yoo06 \l 2057 </w:instrText>
          </w:r>
          <w:r w:rsidR="00515891" w:rsidRPr="00C828A6">
            <w:fldChar w:fldCharType="separate"/>
          </w:r>
          <w:r w:rsidR="00FB2641" w:rsidRPr="00C828A6">
            <w:rPr>
              <w:noProof/>
              <w:lang w:val="en-GB"/>
            </w:rPr>
            <w:t xml:space="preserve"> (Yoo, Lemak, &amp; Choi, 2006)</w:t>
          </w:r>
          <w:r w:rsidR="00515891" w:rsidRPr="00C828A6">
            <w:fldChar w:fldCharType="end"/>
          </w:r>
        </w:sdtContent>
      </w:sdt>
      <w:r w:rsidR="0078637A" w:rsidRPr="00C828A6">
        <w:t>.</w:t>
      </w:r>
    </w:p>
    <w:p w14:paraId="03564CFF" w14:textId="0F18FDA9" w:rsidR="00295D96" w:rsidRPr="00C828A6" w:rsidRDefault="00CB345E" w:rsidP="001E0E93">
      <w:pPr>
        <w:spacing w:before="100" w:beforeAutospacing="1" w:after="100" w:afterAutospacing="1" w:line="480" w:lineRule="auto"/>
        <w:ind w:left="284" w:firstLine="720"/>
        <w:contextualSpacing/>
      </w:pPr>
      <w:r w:rsidRPr="00C828A6">
        <w:t xml:space="preserve">Business organizations can benefit </w:t>
      </w:r>
      <w:r w:rsidR="00B41263" w:rsidRPr="00C828A6">
        <w:t xml:space="preserve">from mechanisms of superior corporate governance like the current board of directors that monitors and tracks </w:t>
      </w:r>
      <w:r w:rsidR="00B14563" w:rsidRPr="00C828A6">
        <w:t xml:space="preserve">the actions of Chief Executive Officers </w:t>
      </w:r>
      <w:r w:rsidR="001E0E93" w:rsidRPr="00C828A6">
        <w:t>(CEO</w:t>
      </w:r>
      <w:r w:rsidR="00D94687" w:rsidRPr="00C828A6">
        <w:t>s</w:t>
      </w:r>
      <w:r w:rsidR="001E0E93" w:rsidRPr="00C828A6">
        <w:t>)</w:t>
      </w:r>
      <w:r w:rsidR="00947EA9" w:rsidRPr="00C828A6">
        <w:t xml:space="preserve">, offer strategic management advice, and assists to network other crucial </w:t>
      </w:r>
      <w:r w:rsidR="00CD6FD8" w:rsidRPr="00C828A6">
        <w:t>resources. In</w:t>
      </w:r>
      <w:r w:rsidR="00947EA9" w:rsidRPr="00C828A6">
        <w:t xml:space="preserve"> situations where these kinds of mechanisms are not adopted within the firm</w:t>
      </w:r>
      <w:r w:rsidR="009A531B" w:rsidRPr="00C828A6">
        <w:t xml:space="preserve">, the Chief Executive Officers’ excess powers may not be </w:t>
      </w:r>
      <w:r w:rsidR="00082707" w:rsidRPr="00C828A6">
        <w:t>checked,</w:t>
      </w:r>
      <w:r w:rsidR="00293A07" w:rsidRPr="00C828A6">
        <w:t xml:space="preserve"> resulting in poor company </w:t>
      </w:r>
      <w:r w:rsidR="00082707" w:rsidRPr="00C828A6">
        <w:t>performance,</w:t>
      </w:r>
      <w:r w:rsidR="00293A07" w:rsidRPr="00C828A6">
        <w:t xml:space="preserve"> negative publicity</w:t>
      </w:r>
      <w:r w:rsidR="00D94687" w:rsidRPr="00C828A6">
        <w:t xml:space="preserve"> a</w:t>
      </w:r>
      <w:r w:rsidR="00293A07" w:rsidRPr="00C828A6">
        <w:t>s well as potential takeover</w:t>
      </w:r>
      <w:r w:rsidR="00D94687" w:rsidRPr="00C828A6">
        <w:t>s</w:t>
      </w:r>
      <w:r w:rsidR="00293A07" w:rsidRPr="00C828A6">
        <w:t xml:space="preserve"> </w:t>
      </w:r>
      <w:r w:rsidR="00D94687" w:rsidRPr="00C828A6">
        <w:t>by rival firms.</w:t>
      </w:r>
      <w:r w:rsidR="00082707" w:rsidRPr="00C828A6">
        <w:t xml:space="preserve"> </w:t>
      </w:r>
      <w:r w:rsidR="00947EA9" w:rsidRPr="00C828A6">
        <w:t xml:space="preserve"> </w:t>
      </w:r>
    </w:p>
    <w:p w14:paraId="2965F614" w14:textId="7D94F106" w:rsidR="00D468F4" w:rsidRPr="00C828A6" w:rsidRDefault="00CB345E" w:rsidP="001E0E93">
      <w:pPr>
        <w:spacing w:before="100" w:beforeAutospacing="1" w:after="100" w:afterAutospacing="1" w:line="480" w:lineRule="auto"/>
        <w:ind w:left="284" w:firstLine="720"/>
        <w:contextualSpacing/>
      </w:pPr>
      <w:r w:rsidRPr="00C828A6">
        <w:lastRenderedPageBreak/>
        <w:t>The organizational control</w:t>
      </w:r>
      <w:r w:rsidR="001E0305" w:rsidRPr="00C828A6">
        <w:t xml:space="preserve"> and </w:t>
      </w:r>
      <w:r w:rsidR="00C34013" w:rsidRPr="00C828A6">
        <w:t>management systems are</w:t>
      </w:r>
      <w:r w:rsidR="001E0305" w:rsidRPr="00C828A6">
        <w:t xml:space="preserve"> crucial components of executive strategies since they track and monitor performance </w:t>
      </w:r>
      <w:r w:rsidR="00E517FB" w:rsidRPr="00C828A6">
        <w:t xml:space="preserve">as well as identify adjustment which is needed to be </w:t>
      </w:r>
      <w:r w:rsidR="004A4E4F" w:rsidRPr="00C828A6">
        <w:t>made. Control</w:t>
      </w:r>
      <w:r w:rsidR="00C34013" w:rsidRPr="00C828A6">
        <w:t xml:space="preserve"> of the output of the company involves </w:t>
      </w:r>
      <w:r w:rsidR="00AC6EA0" w:rsidRPr="00C828A6">
        <w:t>measurable</w:t>
      </w:r>
      <w:r w:rsidR="004A4E4F" w:rsidRPr="00C828A6">
        <w:t xml:space="preserve"> </w:t>
      </w:r>
      <w:r w:rsidR="00CD6FD8" w:rsidRPr="00C828A6">
        <w:t>outcomes. Behavioral</w:t>
      </w:r>
      <w:r w:rsidR="004A4E4F" w:rsidRPr="00C828A6">
        <w:t xml:space="preserve"> control means the regulation of business activities than results. </w:t>
      </w:r>
    </w:p>
    <w:p w14:paraId="184186B9" w14:textId="77777777" w:rsidR="005224D0" w:rsidRPr="00C828A6" w:rsidRDefault="005224D0" w:rsidP="00973D03">
      <w:pPr>
        <w:spacing w:before="100" w:beforeAutospacing="1" w:after="100" w:afterAutospacing="1" w:line="480" w:lineRule="auto"/>
        <w:contextualSpacing/>
      </w:pPr>
    </w:p>
    <w:p w14:paraId="24DA2FBD" w14:textId="77777777" w:rsidR="005224D0" w:rsidRPr="00C828A6" w:rsidRDefault="005224D0" w:rsidP="00973D03">
      <w:pPr>
        <w:spacing w:before="100" w:beforeAutospacing="1" w:after="100" w:afterAutospacing="1" w:line="480" w:lineRule="auto"/>
        <w:contextualSpacing/>
      </w:pPr>
    </w:p>
    <w:p w14:paraId="616638E7" w14:textId="77777777" w:rsidR="005224D0" w:rsidRPr="00C828A6" w:rsidRDefault="005224D0" w:rsidP="00973D03">
      <w:pPr>
        <w:spacing w:before="100" w:beforeAutospacing="1" w:after="100" w:afterAutospacing="1" w:line="480" w:lineRule="auto"/>
        <w:contextualSpacing/>
      </w:pPr>
    </w:p>
    <w:p w14:paraId="29A1EE8E" w14:textId="77777777" w:rsidR="005224D0" w:rsidRPr="00C828A6" w:rsidRDefault="005224D0" w:rsidP="00973D03">
      <w:pPr>
        <w:spacing w:before="100" w:beforeAutospacing="1" w:after="100" w:afterAutospacing="1" w:line="480" w:lineRule="auto"/>
        <w:contextualSpacing/>
      </w:pPr>
    </w:p>
    <w:p w14:paraId="444981FF" w14:textId="77777777" w:rsidR="005224D0" w:rsidRPr="00C828A6" w:rsidRDefault="005224D0" w:rsidP="00973D03">
      <w:pPr>
        <w:spacing w:before="100" w:beforeAutospacing="1" w:after="100" w:afterAutospacing="1" w:line="480" w:lineRule="auto"/>
        <w:contextualSpacing/>
      </w:pPr>
    </w:p>
    <w:p w14:paraId="530CE741" w14:textId="77777777" w:rsidR="005224D0" w:rsidRPr="00C828A6" w:rsidRDefault="005224D0" w:rsidP="00973D03">
      <w:pPr>
        <w:spacing w:before="100" w:beforeAutospacing="1" w:after="100" w:afterAutospacing="1" w:line="480" w:lineRule="auto"/>
        <w:contextualSpacing/>
      </w:pPr>
    </w:p>
    <w:p w14:paraId="31109DBA" w14:textId="77777777" w:rsidR="005224D0" w:rsidRPr="00C828A6" w:rsidRDefault="005224D0" w:rsidP="00973D03">
      <w:pPr>
        <w:spacing w:before="100" w:beforeAutospacing="1" w:after="100" w:afterAutospacing="1" w:line="480" w:lineRule="auto"/>
        <w:contextualSpacing/>
      </w:pPr>
    </w:p>
    <w:p w14:paraId="657FBEBC" w14:textId="77777777" w:rsidR="005224D0" w:rsidRPr="00C828A6" w:rsidRDefault="005224D0" w:rsidP="00973D03">
      <w:pPr>
        <w:spacing w:before="100" w:beforeAutospacing="1" w:after="100" w:afterAutospacing="1" w:line="480" w:lineRule="auto"/>
        <w:contextualSpacing/>
      </w:pPr>
    </w:p>
    <w:p w14:paraId="70C52E27" w14:textId="77777777" w:rsidR="005224D0" w:rsidRPr="00C828A6" w:rsidRDefault="005224D0" w:rsidP="00973D03">
      <w:pPr>
        <w:spacing w:before="100" w:beforeAutospacing="1" w:after="100" w:afterAutospacing="1" w:line="480" w:lineRule="auto"/>
        <w:contextualSpacing/>
      </w:pPr>
    </w:p>
    <w:p w14:paraId="578871AC" w14:textId="77777777" w:rsidR="005224D0" w:rsidRPr="00C828A6" w:rsidRDefault="005224D0" w:rsidP="00973D03">
      <w:pPr>
        <w:spacing w:before="100" w:beforeAutospacing="1" w:after="100" w:afterAutospacing="1" w:line="480" w:lineRule="auto"/>
        <w:contextualSpacing/>
      </w:pPr>
    </w:p>
    <w:p w14:paraId="287DB5B8" w14:textId="77777777" w:rsidR="005224D0" w:rsidRPr="00C828A6" w:rsidRDefault="005224D0" w:rsidP="00973D03">
      <w:pPr>
        <w:spacing w:before="100" w:beforeAutospacing="1" w:after="100" w:afterAutospacing="1" w:line="480" w:lineRule="auto"/>
        <w:contextualSpacing/>
      </w:pPr>
    </w:p>
    <w:p w14:paraId="18333DCD" w14:textId="77777777" w:rsidR="005224D0" w:rsidRPr="00C828A6" w:rsidRDefault="005224D0" w:rsidP="00973D03">
      <w:pPr>
        <w:spacing w:before="100" w:beforeAutospacing="1" w:after="100" w:afterAutospacing="1" w:line="480" w:lineRule="auto"/>
        <w:contextualSpacing/>
      </w:pPr>
    </w:p>
    <w:p w14:paraId="69A47FF2" w14:textId="77777777" w:rsidR="005224D0" w:rsidRPr="00C828A6" w:rsidRDefault="005224D0" w:rsidP="00973D03">
      <w:pPr>
        <w:spacing w:before="100" w:beforeAutospacing="1" w:after="100" w:afterAutospacing="1" w:line="480" w:lineRule="auto"/>
        <w:contextualSpacing/>
      </w:pPr>
    </w:p>
    <w:p w14:paraId="187EA35A" w14:textId="77777777" w:rsidR="00A67CFB" w:rsidRPr="00C828A6" w:rsidRDefault="00A67CFB" w:rsidP="008D6399">
      <w:pPr>
        <w:spacing w:line="480" w:lineRule="auto"/>
      </w:pPr>
    </w:p>
    <w:sdt>
      <w:sdtPr>
        <w:rPr>
          <w:rFonts w:ascii="Times New Roman" w:eastAsia="Times New Roman" w:hAnsi="Times New Roman" w:cs="Times New Roman"/>
          <w:color w:val="auto"/>
          <w:sz w:val="24"/>
          <w:szCs w:val="24"/>
          <w:lang w:eastAsia="zh-CN"/>
        </w:rPr>
        <w:id w:val="1029992030"/>
        <w:docPartObj>
          <w:docPartGallery w:val="Bibliographies"/>
          <w:docPartUnique/>
        </w:docPartObj>
      </w:sdtPr>
      <w:sdtEndPr/>
      <w:sdtContent>
        <w:p w14:paraId="5F193B9C" w14:textId="42A50905" w:rsidR="008D6399" w:rsidRPr="00C828A6" w:rsidRDefault="00CB345E" w:rsidP="008D6399">
          <w:pPr>
            <w:pStyle w:val="Heading1"/>
            <w:spacing w:line="480" w:lineRule="auto"/>
            <w:jc w:val="center"/>
            <w:rPr>
              <w:rFonts w:ascii="Times New Roman" w:hAnsi="Times New Roman" w:cs="Times New Roman"/>
              <w:color w:val="auto"/>
              <w:sz w:val="24"/>
              <w:szCs w:val="24"/>
            </w:rPr>
          </w:pPr>
          <w:r w:rsidRPr="00C828A6">
            <w:rPr>
              <w:rFonts w:ascii="Times New Roman" w:hAnsi="Times New Roman" w:cs="Times New Roman"/>
              <w:color w:val="auto"/>
              <w:sz w:val="24"/>
              <w:szCs w:val="24"/>
            </w:rPr>
            <w:t>References</w:t>
          </w:r>
        </w:p>
        <w:sdt>
          <w:sdtPr>
            <w:id w:val="111145805"/>
            <w:bibliography/>
          </w:sdtPr>
          <w:sdtEndPr/>
          <w:sdtContent>
            <w:p w14:paraId="333821C4" w14:textId="77777777" w:rsidR="00FB2641" w:rsidRPr="00C828A6" w:rsidRDefault="00CB345E" w:rsidP="00FB2641">
              <w:pPr>
                <w:pStyle w:val="Bibliography"/>
                <w:spacing w:before="100" w:beforeAutospacing="1" w:after="100" w:afterAutospacing="1" w:line="480" w:lineRule="auto"/>
                <w:ind w:left="1004" w:hanging="720"/>
                <w:contextualSpacing/>
                <w:rPr>
                  <w:noProof/>
                </w:rPr>
              </w:pPr>
              <w:r w:rsidRPr="00C828A6">
                <w:fldChar w:fldCharType="begin"/>
              </w:r>
              <w:r w:rsidRPr="00C828A6">
                <w:instrText xml:space="preserve"> BIBLIOGRAPHY </w:instrText>
              </w:r>
              <w:r w:rsidRPr="00C828A6">
                <w:fldChar w:fldCharType="separate"/>
              </w:r>
              <w:r w:rsidRPr="00C828A6">
                <w:rPr>
                  <w:noProof/>
                </w:rPr>
                <w:t>Courthouse Libraries. (2019, April 16). What is the Finders Law? Retrieved from https://www.courthouselibrary.ca/how-we-can-help/our-legal-knowledge-base/what-finders-law</w:t>
              </w:r>
            </w:p>
            <w:p w14:paraId="0B743D8A" w14:textId="77777777" w:rsidR="00FB2641" w:rsidRPr="00C828A6" w:rsidRDefault="00CB345E" w:rsidP="00FB2641">
              <w:pPr>
                <w:pStyle w:val="Bibliography"/>
                <w:spacing w:before="100" w:beforeAutospacing="1" w:after="100" w:afterAutospacing="1" w:line="480" w:lineRule="auto"/>
                <w:ind w:left="1004" w:hanging="720"/>
                <w:contextualSpacing/>
                <w:rPr>
                  <w:noProof/>
                </w:rPr>
              </w:pPr>
              <w:r w:rsidRPr="00C828A6">
                <w:rPr>
                  <w:noProof/>
                </w:rPr>
                <w:lastRenderedPageBreak/>
                <w:t xml:space="preserve">Doskow, E. (n.d.). Adverse Possession: When Trespassers Become Property Owners. </w:t>
              </w:r>
              <w:r w:rsidRPr="00C828A6">
                <w:rPr>
                  <w:i/>
                  <w:iCs/>
                  <w:noProof/>
                </w:rPr>
                <w:t>Nolo</w:t>
              </w:r>
              <w:r w:rsidRPr="00C828A6">
                <w:rPr>
                  <w:noProof/>
                </w:rPr>
                <w:t>. Retrieved from https://www.nolo.com/legal-encyclopedia/adverse-possession-trespassers-become-owners-46934.html</w:t>
              </w:r>
            </w:p>
            <w:p w14:paraId="056988BD" w14:textId="77777777" w:rsidR="00FB2641" w:rsidRPr="00C828A6" w:rsidRDefault="00CB345E" w:rsidP="00FB2641">
              <w:pPr>
                <w:pStyle w:val="Bibliography"/>
                <w:spacing w:before="100" w:beforeAutospacing="1" w:after="100" w:afterAutospacing="1" w:line="480" w:lineRule="auto"/>
                <w:ind w:left="1004" w:hanging="720"/>
                <w:contextualSpacing/>
                <w:rPr>
                  <w:noProof/>
                </w:rPr>
              </w:pPr>
              <w:r w:rsidRPr="00C828A6">
                <w:rPr>
                  <w:noProof/>
                </w:rPr>
                <w:t xml:space="preserve">Yoo, J. W., Lemak, D. J., &amp; Choi, Y. (2006). Principles of </w:t>
              </w:r>
              <w:r w:rsidRPr="00C828A6">
                <w:rPr>
                  <w:noProof/>
                </w:rPr>
                <w:t xml:space="preserve">management and competitive strategies: using Fayol to implement Porter. </w:t>
              </w:r>
              <w:r w:rsidRPr="00C828A6">
                <w:rPr>
                  <w:i/>
                  <w:iCs/>
                  <w:noProof/>
                </w:rPr>
                <w:t>Journal of Management History, 12</w:t>
              </w:r>
              <w:r w:rsidRPr="00C828A6">
                <w:rPr>
                  <w:noProof/>
                </w:rPr>
                <w:t xml:space="preserve">(4), 352-368. doi:10.1108/17511340610692734 </w:t>
              </w:r>
            </w:p>
            <w:p w14:paraId="6610BE7D" w14:textId="40EF3149" w:rsidR="008D6399" w:rsidRPr="00C828A6" w:rsidRDefault="00CB345E" w:rsidP="00FB2641">
              <w:pPr>
                <w:spacing w:before="100" w:beforeAutospacing="1" w:after="100" w:afterAutospacing="1" w:line="480" w:lineRule="auto"/>
                <w:ind w:left="1004" w:hanging="720"/>
                <w:contextualSpacing/>
              </w:pPr>
              <w:r w:rsidRPr="00C828A6">
                <w:rPr>
                  <w:b/>
                  <w:bCs/>
                  <w:noProof/>
                </w:rPr>
                <w:fldChar w:fldCharType="end"/>
              </w:r>
            </w:p>
          </w:sdtContent>
        </w:sdt>
      </w:sdtContent>
    </w:sdt>
    <w:sdt>
      <w:sdtPr>
        <w:rPr>
          <w:rFonts w:ascii="Times New Roman" w:eastAsia="Times New Roman" w:hAnsi="Times New Roman" w:cs="Times New Roman"/>
          <w:color w:val="auto"/>
          <w:sz w:val="24"/>
          <w:szCs w:val="24"/>
          <w:lang w:eastAsia="zh-CN"/>
        </w:rPr>
        <w:id w:val="21300737"/>
        <w:docPartObj>
          <w:docPartGallery w:val="Bibliographies"/>
          <w:docPartUnique/>
        </w:docPartObj>
      </w:sdtPr>
      <w:sdtEndPr/>
      <w:sdtContent>
        <w:p w14:paraId="42F2B8BF" w14:textId="7D491A5A" w:rsidR="00FB2641" w:rsidRPr="00C828A6" w:rsidRDefault="00FB2641" w:rsidP="00FB2641">
          <w:pPr>
            <w:pStyle w:val="Heading1"/>
            <w:rPr>
              <w:rFonts w:ascii="Times New Roman" w:hAnsi="Times New Roman" w:cs="Times New Roman"/>
              <w:sz w:val="24"/>
              <w:szCs w:val="24"/>
            </w:rPr>
          </w:pPr>
        </w:p>
        <w:p w14:paraId="74A656D8" w14:textId="01D78D11" w:rsidR="00515891" w:rsidRPr="00C828A6" w:rsidRDefault="00CB345E" w:rsidP="00515891"/>
      </w:sdtContent>
    </w:sdt>
    <w:bookmarkEnd w:id="0"/>
    <w:p w14:paraId="5E171142" w14:textId="77777777" w:rsidR="005C0639" w:rsidRPr="00C828A6" w:rsidRDefault="005C0639" w:rsidP="008D6399">
      <w:pPr>
        <w:spacing w:line="480" w:lineRule="auto"/>
      </w:pPr>
    </w:p>
    <w:sectPr w:rsidR="005C0639" w:rsidRPr="00C828A6" w:rsidSect="00AE796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810B84" w14:textId="77777777" w:rsidR="00CB345E" w:rsidRDefault="00CB345E">
      <w:r>
        <w:separator/>
      </w:r>
    </w:p>
  </w:endnote>
  <w:endnote w:type="continuationSeparator" w:id="0">
    <w:p w14:paraId="23C3D8C4" w14:textId="77777777" w:rsidR="00CB345E" w:rsidRDefault="00CB3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B1338D" w14:textId="77777777" w:rsidR="00CB345E" w:rsidRDefault="00CB345E">
      <w:r>
        <w:separator/>
      </w:r>
    </w:p>
  </w:footnote>
  <w:footnote w:type="continuationSeparator" w:id="0">
    <w:p w14:paraId="513596BB" w14:textId="77777777" w:rsidR="00CB345E" w:rsidRDefault="00CB34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AFE05" w14:textId="2A8F3631" w:rsidR="00AE7963" w:rsidRDefault="00CB345E">
    <w:pPr>
      <w:pStyle w:val="Header"/>
      <w:jc w:val="right"/>
    </w:pPr>
    <w:r>
      <w:t xml:space="preserve">THE LAW                                                                                                                                       </w:t>
    </w:r>
    <w:sdt>
      <w:sdtPr>
        <w:id w:val="15958241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5A1E">
          <w:rPr>
            <w:noProof/>
          </w:rPr>
          <w:t>4</w:t>
        </w:r>
        <w:r>
          <w:rPr>
            <w:noProof/>
          </w:rPr>
          <w:fldChar w:fldCharType="end"/>
        </w:r>
      </w:sdtContent>
    </w:sdt>
  </w:p>
  <w:p w14:paraId="79E7C4D1" w14:textId="77777777" w:rsidR="00AE7963" w:rsidRDefault="00AE79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FF69B7" w14:textId="1FA24103" w:rsidR="00AE7963" w:rsidRDefault="00CB345E">
    <w:pPr>
      <w:pStyle w:val="Header"/>
      <w:jc w:val="right"/>
    </w:pPr>
    <w:r>
      <w:t xml:space="preserve">Running head: LAW                                                                  </w:t>
    </w:r>
    <w:r>
      <w:t xml:space="preserve">                                                     </w:t>
    </w:r>
    <w:sdt>
      <w:sdtPr>
        <w:id w:val="8748866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6FD8">
          <w:rPr>
            <w:noProof/>
          </w:rPr>
          <w:t>1</w:t>
        </w:r>
        <w:r>
          <w:rPr>
            <w:noProof/>
          </w:rPr>
          <w:fldChar w:fldCharType="end"/>
        </w:r>
      </w:sdtContent>
    </w:sdt>
  </w:p>
  <w:p w14:paraId="43AE24AC" w14:textId="77777777" w:rsidR="00AE7963" w:rsidRDefault="00AE79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761E06"/>
    <w:multiLevelType w:val="hybridMultilevel"/>
    <w:tmpl w:val="11FA0CBE"/>
    <w:lvl w:ilvl="0" w:tplc="41B0657C">
      <w:start w:val="1"/>
      <w:numFmt w:val="decimal"/>
      <w:lvlText w:val="%1."/>
      <w:lvlJc w:val="left"/>
      <w:pPr>
        <w:ind w:left="720" w:hanging="360"/>
      </w:pPr>
      <w:rPr>
        <w:rFonts w:hint="default"/>
      </w:rPr>
    </w:lvl>
    <w:lvl w:ilvl="1" w:tplc="E5EAE9C8" w:tentative="1">
      <w:start w:val="1"/>
      <w:numFmt w:val="lowerLetter"/>
      <w:lvlText w:val="%2."/>
      <w:lvlJc w:val="left"/>
      <w:pPr>
        <w:ind w:left="1440" w:hanging="360"/>
      </w:pPr>
    </w:lvl>
    <w:lvl w:ilvl="2" w:tplc="2C729EAC" w:tentative="1">
      <w:start w:val="1"/>
      <w:numFmt w:val="lowerRoman"/>
      <w:lvlText w:val="%3."/>
      <w:lvlJc w:val="right"/>
      <w:pPr>
        <w:ind w:left="2160" w:hanging="180"/>
      </w:pPr>
    </w:lvl>
    <w:lvl w:ilvl="3" w:tplc="CE427552" w:tentative="1">
      <w:start w:val="1"/>
      <w:numFmt w:val="decimal"/>
      <w:lvlText w:val="%4."/>
      <w:lvlJc w:val="left"/>
      <w:pPr>
        <w:ind w:left="2880" w:hanging="360"/>
      </w:pPr>
    </w:lvl>
    <w:lvl w:ilvl="4" w:tplc="66623EDA" w:tentative="1">
      <w:start w:val="1"/>
      <w:numFmt w:val="lowerLetter"/>
      <w:lvlText w:val="%5."/>
      <w:lvlJc w:val="left"/>
      <w:pPr>
        <w:ind w:left="3600" w:hanging="360"/>
      </w:pPr>
    </w:lvl>
    <w:lvl w:ilvl="5" w:tplc="988E2188" w:tentative="1">
      <w:start w:val="1"/>
      <w:numFmt w:val="lowerRoman"/>
      <w:lvlText w:val="%6."/>
      <w:lvlJc w:val="right"/>
      <w:pPr>
        <w:ind w:left="4320" w:hanging="180"/>
      </w:pPr>
    </w:lvl>
    <w:lvl w:ilvl="6" w:tplc="C73E0B78" w:tentative="1">
      <w:start w:val="1"/>
      <w:numFmt w:val="decimal"/>
      <w:lvlText w:val="%7."/>
      <w:lvlJc w:val="left"/>
      <w:pPr>
        <w:ind w:left="5040" w:hanging="360"/>
      </w:pPr>
    </w:lvl>
    <w:lvl w:ilvl="7" w:tplc="3F1EF468" w:tentative="1">
      <w:start w:val="1"/>
      <w:numFmt w:val="lowerLetter"/>
      <w:lvlText w:val="%8."/>
      <w:lvlJc w:val="left"/>
      <w:pPr>
        <w:ind w:left="5760" w:hanging="360"/>
      </w:pPr>
    </w:lvl>
    <w:lvl w:ilvl="8" w:tplc="F3F6AC7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639"/>
    <w:rsid w:val="00015425"/>
    <w:rsid w:val="0001663B"/>
    <w:rsid w:val="000820D4"/>
    <w:rsid w:val="00082707"/>
    <w:rsid w:val="00106B27"/>
    <w:rsid w:val="001A794C"/>
    <w:rsid w:val="001E0305"/>
    <w:rsid w:val="001E0E93"/>
    <w:rsid w:val="00235133"/>
    <w:rsid w:val="0025730B"/>
    <w:rsid w:val="00280109"/>
    <w:rsid w:val="00293A07"/>
    <w:rsid w:val="00295D96"/>
    <w:rsid w:val="00306973"/>
    <w:rsid w:val="003427B6"/>
    <w:rsid w:val="003C684F"/>
    <w:rsid w:val="0040736E"/>
    <w:rsid w:val="004A2A4E"/>
    <w:rsid w:val="004A4E4F"/>
    <w:rsid w:val="004B53E6"/>
    <w:rsid w:val="00515891"/>
    <w:rsid w:val="005224D0"/>
    <w:rsid w:val="00560192"/>
    <w:rsid w:val="005A4148"/>
    <w:rsid w:val="005C0639"/>
    <w:rsid w:val="005F4AF5"/>
    <w:rsid w:val="00687748"/>
    <w:rsid w:val="006D1B77"/>
    <w:rsid w:val="00723665"/>
    <w:rsid w:val="007316B0"/>
    <w:rsid w:val="00741A76"/>
    <w:rsid w:val="00753319"/>
    <w:rsid w:val="00777532"/>
    <w:rsid w:val="0078637A"/>
    <w:rsid w:val="007914EF"/>
    <w:rsid w:val="007A4162"/>
    <w:rsid w:val="00822F79"/>
    <w:rsid w:val="008D6399"/>
    <w:rsid w:val="009049C2"/>
    <w:rsid w:val="00936643"/>
    <w:rsid w:val="00947EA9"/>
    <w:rsid w:val="00973D03"/>
    <w:rsid w:val="00995E4A"/>
    <w:rsid w:val="009A531B"/>
    <w:rsid w:val="00A26B00"/>
    <w:rsid w:val="00A36BB6"/>
    <w:rsid w:val="00A67CFB"/>
    <w:rsid w:val="00AC5BBB"/>
    <w:rsid w:val="00AC6EA0"/>
    <w:rsid w:val="00AD1D84"/>
    <w:rsid w:val="00AD5A1E"/>
    <w:rsid w:val="00AE57E8"/>
    <w:rsid w:val="00AE7963"/>
    <w:rsid w:val="00B14563"/>
    <w:rsid w:val="00B41263"/>
    <w:rsid w:val="00B83D30"/>
    <w:rsid w:val="00BA5B2B"/>
    <w:rsid w:val="00BA7551"/>
    <w:rsid w:val="00BD3DFD"/>
    <w:rsid w:val="00BF34D6"/>
    <w:rsid w:val="00BF6600"/>
    <w:rsid w:val="00C006C6"/>
    <w:rsid w:val="00C15F1E"/>
    <w:rsid w:val="00C34013"/>
    <w:rsid w:val="00C828A6"/>
    <w:rsid w:val="00CB345E"/>
    <w:rsid w:val="00CD6FD8"/>
    <w:rsid w:val="00D468F4"/>
    <w:rsid w:val="00D94687"/>
    <w:rsid w:val="00DC53F4"/>
    <w:rsid w:val="00DE06B6"/>
    <w:rsid w:val="00E37616"/>
    <w:rsid w:val="00E517FB"/>
    <w:rsid w:val="00EB21F1"/>
    <w:rsid w:val="00ED3C9B"/>
    <w:rsid w:val="00EE456D"/>
    <w:rsid w:val="00F307C3"/>
    <w:rsid w:val="00F37EEF"/>
    <w:rsid w:val="00F7225E"/>
    <w:rsid w:val="00F9330D"/>
    <w:rsid w:val="00FA0C77"/>
    <w:rsid w:val="00FB2641"/>
    <w:rsid w:val="00FE7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E1E0B188-8272-024D-AE4A-D49DE2A23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639"/>
    <w:rPr>
      <w:rFonts w:ascii="Times New Roman" w:eastAsia="Times New Roman" w:hAnsi="Times New Roman" w:cs="Times New Roman"/>
    </w:rPr>
  </w:style>
  <w:style w:type="paragraph" w:styleId="Heading1">
    <w:name w:val="heading 1"/>
    <w:basedOn w:val="Normal"/>
    <w:next w:val="Normal"/>
    <w:link w:val="Heading1Char"/>
    <w:uiPriority w:val="9"/>
    <w:qFormat/>
    <w:rsid w:val="008D6399"/>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639"/>
    <w:pPr>
      <w:spacing w:before="100" w:beforeAutospacing="1" w:after="100" w:afterAutospacing="1"/>
    </w:pPr>
  </w:style>
  <w:style w:type="character" w:styleId="Emphasis">
    <w:name w:val="Emphasis"/>
    <w:basedOn w:val="DefaultParagraphFont"/>
    <w:uiPriority w:val="20"/>
    <w:qFormat/>
    <w:rsid w:val="005C0639"/>
    <w:rPr>
      <w:i/>
      <w:iCs/>
    </w:rPr>
  </w:style>
  <w:style w:type="character" w:customStyle="1" w:styleId="stepbox">
    <w:name w:val="step_box"/>
    <w:basedOn w:val="DefaultParagraphFont"/>
    <w:rsid w:val="005C0639"/>
  </w:style>
  <w:style w:type="character" w:styleId="Strong">
    <w:name w:val="Strong"/>
    <w:basedOn w:val="DefaultParagraphFont"/>
    <w:uiPriority w:val="22"/>
    <w:qFormat/>
    <w:rsid w:val="005C0639"/>
    <w:rPr>
      <w:b/>
      <w:bCs/>
    </w:rPr>
  </w:style>
  <w:style w:type="paragraph" w:styleId="ListParagraph">
    <w:name w:val="List Paragraph"/>
    <w:basedOn w:val="Normal"/>
    <w:uiPriority w:val="34"/>
    <w:qFormat/>
    <w:rsid w:val="005A4148"/>
    <w:pPr>
      <w:ind w:left="720"/>
      <w:contextualSpacing/>
    </w:pPr>
  </w:style>
  <w:style w:type="paragraph" w:styleId="Header">
    <w:name w:val="header"/>
    <w:basedOn w:val="Normal"/>
    <w:link w:val="HeaderChar"/>
    <w:uiPriority w:val="99"/>
    <w:unhideWhenUsed/>
    <w:rsid w:val="00AE7963"/>
    <w:pPr>
      <w:tabs>
        <w:tab w:val="center" w:pos="4680"/>
        <w:tab w:val="right" w:pos="9360"/>
      </w:tabs>
    </w:pPr>
  </w:style>
  <w:style w:type="character" w:customStyle="1" w:styleId="HeaderChar">
    <w:name w:val="Header Char"/>
    <w:basedOn w:val="DefaultParagraphFont"/>
    <w:link w:val="Header"/>
    <w:uiPriority w:val="99"/>
    <w:rsid w:val="00AE7963"/>
    <w:rPr>
      <w:rFonts w:ascii="Times New Roman" w:eastAsia="Times New Roman" w:hAnsi="Times New Roman" w:cs="Times New Roman"/>
    </w:rPr>
  </w:style>
  <w:style w:type="paragraph" w:styleId="Footer">
    <w:name w:val="footer"/>
    <w:basedOn w:val="Normal"/>
    <w:link w:val="FooterChar"/>
    <w:uiPriority w:val="99"/>
    <w:unhideWhenUsed/>
    <w:rsid w:val="00AE7963"/>
    <w:pPr>
      <w:tabs>
        <w:tab w:val="center" w:pos="4680"/>
        <w:tab w:val="right" w:pos="9360"/>
      </w:tabs>
    </w:pPr>
  </w:style>
  <w:style w:type="character" w:customStyle="1" w:styleId="FooterChar">
    <w:name w:val="Footer Char"/>
    <w:basedOn w:val="DefaultParagraphFont"/>
    <w:link w:val="Footer"/>
    <w:uiPriority w:val="99"/>
    <w:rsid w:val="00AE7963"/>
    <w:rPr>
      <w:rFonts w:ascii="Times New Roman" w:eastAsia="Times New Roman" w:hAnsi="Times New Roman" w:cs="Times New Roman"/>
    </w:rPr>
  </w:style>
  <w:style w:type="character" w:customStyle="1" w:styleId="Heading1Char">
    <w:name w:val="Heading 1 Char"/>
    <w:basedOn w:val="DefaultParagraphFont"/>
    <w:link w:val="Heading1"/>
    <w:uiPriority w:val="9"/>
    <w:rsid w:val="008D6399"/>
    <w:rPr>
      <w:rFonts w:asciiTheme="majorHAnsi" w:eastAsiaTheme="majorEastAsia" w:hAnsiTheme="majorHAnsi" w:cstheme="majorBidi"/>
      <w:color w:val="2F5496" w:themeColor="accent1" w:themeShade="BF"/>
      <w:sz w:val="32"/>
      <w:szCs w:val="32"/>
      <w:lang w:eastAsia="en-US"/>
    </w:rPr>
  </w:style>
  <w:style w:type="paragraph" w:styleId="Bibliography">
    <w:name w:val="Bibliography"/>
    <w:basedOn w:val="Normal"/>
    <w:next w:val="Normal"/>
    <w:uiPriority w:val="37"/>
    <w:unhideWhenUsed/>
    <w:rsid w:val="008D6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5889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Dos</b:Tag>
    <b:SourceType>ArticleInAPeriodical</b:SourceType>
    <b:Guid>{70028668-7485-410A-9F92-A3034C0A8D67}</b:Guid>
    <b:Author>
      <b:Author>
        <b:NameList>
          <b:Person>
            <b:Last>Doskow</b:Last>
            <b:First>Emily</b:First>
          </b:Person>
        </b:NameList>
      </b:Author>
    </b:Author>
    <b:Title>Adverse Possession: When Trespassers Become Property Owners</b:Title>
    <b:PeriodicalTitle>Nolo</b:PeriodicalTitle>
    <b:URL>https://www.nolo.com/legal-encyclopedia/adverse-possession-trespassers-become-owners-46934.html</b:URL>
    <b:RefOrder>1</b:RefOrder>
  </b:Source>
  <b:Source>
    <b:Tag>Cou19</b:Tag>
    <b:SourceType>ArticleInAPeriodical</b:SourceType>
    <b:Guid>{1152A2BC-59D1-44E3-B58C-3D56B60B3706}</b:Guid>
    <b:Author>
      <b:Author>
        <b:Corporate>Courthouse Libraries</b:Corporate>
      </b:Author>
    </b:Author>
    <b:Title>What is Finders Law?</b:Title>
    <b:Year>2019</b:Year>
    <b:Month>April</b:Month>
    <b:Day>16</b:Day>
    <b:URL>https://www.courthouselibrary.ca/how-we-can-help/our-legal-knowledge-base/what-finders-law</b:URL>
    <b:RefOrder>2</b:RefOrder>
  </b:Source>
  <b:Source>
    <b:Tag>Yoo06</b:Tag>
    <b:SourceType>JournalArticle</b:SourceType>
    <b:Guid>{563209A6-1C91-4AC4-9798-E044763C994F}</b:Guid>
    <b:Title>Principles of management and competitive strategies: using Fayol to implement Porter</b:Title>
    <b:Year>2006</b:Year>
    <b:City>Bradford</b:City>
    <b:Author>
      <b:Author>
        <b:NameList>
          <b:Person>
            <b:Last>Yoo</b:Last>
            <b:First>Jae</b:First>
            <b:Middle>Wook</b:Middle>
          </b:Person>
          <b:Person>
            <b:Last>Lemak</b:Last>
            <b:First>David</b:First>
            <b:Middle>J</b:Middle>
          </b:Person>
          <b:Person>
            <b:Last>Choi</b:Last>
            <b:First>Youngjun</b:First>
          </b:Person>
        </b:NameList>
      </b:Author>
    </b:Author>
    <b:JournalName>Journal of Management History</b:JournalName>
    <b:Pages>352-368</b:Pages>
    <b:Volume>12</b:Volume>
    <b:Issue>4</b:Issue>
    <b:DOI>10.1108/17511340610692734 </b:DOI>
    <b:RefOrder>3</b:RefOrder>
  </b:Source>
</b:Sources>
</file>

<file path=customXml/itemProps1.xml><?xml version="1.0" encoding="utf-8"?>
<ds:datastoreItem xmlns:ds="http://schemas.openxmlformats.org/officeDocument/2006/customXml" ds:itemID="{9DE3C260-C4A5-478C-9969-936298296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Meng Ting Yang</dc:creator>
  <cp:lastModifiedBy>Dennis Menge</cp:lastModifiedBy>
  <cp:revision>2</cp:revision>
  <dcterms:created xsi:type="dcterms:W3CDTF">2019-04-21T20:25:00Z</dcterms:created>
  <dcterms:modified xsi:type="dcterms:W3CDTF">2019-04-21T20:25:00Z</dcterms:modified>
</cp:coreProperties>
</file>